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8"/>
        <w:ind w:firstLine="0"/>
        <w:jc w:val="right"/>
        <w:widowControl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Проект</w:t>
      </w:r>
      <w:r/>
    </w:p>
    <w:p>
      <w:pPr>
        <w:pStyle w:val="910"/>
        <w:jc w:val="center"/>
        <w:rPr>
          <w:rFonts w:ascii="PT Astra Serif" w:hAnsi="PT Astra Serif" w:cs="PT Astra Serif"/>
          <w:b w:val="0"/>
          <w:bCs w:val="0"/>
          <w:sz w:val="27"/>
          <w:szCs w:val="27"/>
        </w:rPr>
      </w:pPr>
      <w:r>
        <w:rPr>
          <w:rFonts w:ascii="PT Astra Serif" w:hAnsi="PT Astra Serif" w:cs="PT Astra Serif"/>
          <w:b w:val="0"/>
          <w:bCs w:val="0"/>
          <w:sz w:val="27"/>
          <w:szCs w:val="27"/>
        </w:rPr>
        <w:t xml:space="preserve">ЗАКОН</w:t>
      </w:r>
      <w:r/>
    </w:p>
    <w:p>
      <w:pPr>
        <w:pStyle w:val="910"/>
        <w:jc w:val="center"/>
        <w:rPr>
          <w:rFonts w:ascii="PT Astra Serif" w:hAnsi="PT Astra Serif" w:cs="PT Astra Serif"/>
          <w:b w:val="0"/>
          <w:bCs w:val="0"/>
          <w:sz w:val="27"/>
          <w:szCs w:val="27"/>
        </w:rPr>
      </w:pPr>
      <w:r>
        <w:rPr>
          <w:rFonts w:ascii="PT Astra Serif" w:hAnsi="PT Astra Serif" w:cs="PT Astra Serif"/>
          <w:b w:val="0"/>
          <w:bCs w:val="0"/>
          <w:sz w:val="27"/>
          <w:szCs w:val="27"/>
        </w:rPr>
        <w:t xml:space="preserve">Алтайского края</w:t>
      </w:r>
      <w:r/>
    </w:p>
    <w:p>
      <w:pPr>
        <w:pStyle w:val="910"/>
        <w:jc w:val="center"/>
        <w:rPr>
          <w:rFonts w:ascii="PT Astra Serif" w:hAnsi="PT Astra Serif" w:cs="PT Astra Serif"/>
          <w:b w:val="0"/>
          <w:bCs w:val="0"/>
          <w:sz w:val="27"/>
          <w:szCs w:val="27"/>
        </w:rPr>
      </w:pPr>
      <w:r>
        <w:rPr>
          <w:rFonts w:ascii="PT Astra Serif" w:hAnsi="PT Astra Serif" w:cs="PT Astra Serif"/>
          <w:b w:val="0"/>
          <w:bCs w:val="0"/>
          <w:sz w:val="27"/>
          <w:szCs w:val="27"/>
        </w:rPr>
      </w:r>
      <w:r/>
    </w:p>
    <w:p>
      <w:pPr>
        <w:ind w:left="709" w:right="709"/>
        <w:jc w:val="center"/>
        <w:rPr>
          <w:rFonts w:ascii="PT Astra Serif" w:hAnsi="PT Astra Serif" w:cs="PT Astra Serif"/>
          <w:b/>
          <w:bCs/>
          <w:sz w:val="27"/>
          <w:szCs w:val="27"/>
        </w:rPr>
      </w:pPr>
      <w:r>
        <w:rPr>
          <w:rFonts w:ascii="PT Astra Serif" w:hAnsi="PT Astra Serif" w:cs="PT Astra Serif"/>
          <w:b/>
          <w:bCs/>
          <w:sz w:val="27"/>
          <w:szCs w:val="27"/>
        </w:rPr>
        <w:t xml:space="preserve">О мерах социальной поддержки многодетных семей </w:t>
      </w:r>
      <w:r>
        <w:rPr>
          <w:rFonts w:ascii="PT Astra Serif" w:hAnsi="PT Astra Serif" w:cs="PT Astra Serif"/>
          <w:b/>
          <w:bCs/>
          <w:sz w:val="27"/>
          <w:szCs w:val="27"/>
        </w:rPr>
        <w:br w:type="textWrapping" w:clear="all"/>
        <w:t xml:space="preserve">в Алтайском крае</w:t>
      </w:r>
      <w:r/>
    </w:p>
    <w:p>
      <w:pPr>
        <w:pStyle w:val="919"/>
        <w:ind w:firstLine="0"/>
        <w:jc w:val="center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919"/>
        <w:ind w:firstLine="0"/>
        <w:jc w:val="center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910"/>
        <w:ind w:firstLine="709"/>
        <w:jc w:val="both"/>
        <w:rPr>
          <w:rFonts w:ascii="PT Astra Serif" w:hAnsi="PT Astra Serif" w:cs="PT Astra Serif"/>
          <w:b w:val="0"/>
          <w:sz w:val="27"/>
          <w:szCs w:val="27"/>
        </w:rPr>
      </w:pPr>
      <w:r>
        <w:rPr>
          <w:rFonts w:ascii="PT Astra Serif" w:hAnsi="PT Astra Serif" w:cs="PT Astra Serif"/>
          <w:b w:val="0"/>
          <w:sz w:val="27"/>
          <w:szCs w:val="27"/>
        </w:rPr>
        <w:t xml:space="preserve">Настоящий Закон в соответствии с Указом Президента Российской Федерации от 23 января 2024 года № 63 «О мерах </w:t>
      </w:r>
      <w:r>
        <w:rPr>
          <w:rFonts w:ascii="PT Astra Serif" w:hAnsi="PT Astra Serif" w:cs="PT Astra Serif"/>
          <w:b w:val="0"/>
          <w:sz w:val="27"/>
          <w:szCs w:val="27"/>
        </w:rPr>
        <w:t xml:space="preserve">социальной поддержки многодетных семей» устанавливает меры социальной поддержки многодетных семей в целях создания условий для полноценного развития, воспитания и образования детей из многодетных семей и улучшения демографической ситуации в Алтайском крае.</w:t>
      </w:r>
      <w:r/>
    </w:p>
    <w:p>
      <w:pPr>
        <w:pStyle w:val="910"/>
        <w:ind w:firstLine="709"/>
        <w:jc w:val="both"/>
        <w:rPr>
          <w:rFonts w:ascii="PT Astra Serif" w:hAnsi="PT Astra Serif" w:cs="PT Astra Serif"/>
          <w:b w:val="0"/>
          <w:sz w:val="27"/>
          <w:szCs w:val="27"/>
        </w:rPr>
      </w:pPr>
      <w:r>
        <w:rPr>
          <w:rFonts w:ascii="PT Astra Serif" w:hAnsi="PT Astra Serif" w:cs="PT Astra Serif"/>
          <w:b w:val="0"/>
          <w:sz w:val="27"/>
          <w:szCs w:val="27"/>
        </w:rPr>
      </w:r>
      <w:r/>
    </w:p>
    <w:p>
      <w:pPr>
        <w:pStyle w:val="910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b w:val="0"/>
          <w:sz w:val="27"/>
          <w:szCs w:val="27"/>
        </w:rPr>
        <w:t xml:space="preserve">Статья 1.</w:t>
      </w:r>
      <w:r>
        <w:rPr>
          <w:rFonts w:ascii="PT Astra Serif" w:hAnsi="PT Astra Serif" w:cs="PT Astra Serif"/>
          <w:sz w:val="27"/>
          <w:szCs w:val="27"/>
        </w:rPr>
        <w:t xml:space="preserve"> Понятие многодетной семьи</w:t>
      </w:r>
      <w:r/>
    </w:p>
    <w:p>
      <w:pPr>
        <w:pStyle w:val="910"/>
        <w:ind w:firstLine="709"/>
        <w:jc w:val="both"/>
        <w:rPr>
          <w:rFonts w:ascii="PT Astra Serif" w:hAnsi="PT Astra Serif" w:cs="PT Astra Serif"/>
          <w:b w:val="0"/>
          <w:sz w:val="27"/>
          <w:szCs w:val="27"/>
        </w:rPr>
      </w:pPr>
      <w:r>
        <w:rPr>
          <w:rFonts w:ascii="PT Astra Serif" w:hAnsi="PT Astra Serif" w:cs="PT Astra Serif"/>
          <w:b w:val="0"/>
          <w:sz w:val="27"/>
          <w:szCs w:val="27"/>
        </w:rPr>
      </w:r>
      <w:r/>
    </w:p>
    <w:p>
      <w:pPr>
        <w:ind w:firstLine="709"/>
        <w:jc w:val="both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Многодетная семья – </w:t>
      </w:r>
      <w:r>
        <w:rPr>
          <w:rFonts w:ascii="PT Astra Serif" w:hAnsi="PT Astra Serif" w:cs="PT Astra Serif"/>
          <w:bCs/>
          <w:sz w:val="27"/>
          <w:szCs w:val="27"/>
        </w:rPr>
        <w:t xml:space="preserve">семья, имеющая трех и более детей, статус </w:t>
      </w:r>
      <w:r>
        <w:rPr>
          <w:rFonts w:ascii="PT Astra Serif" w:hAnsi="PT Astra Serif" w:cs="PT Astra Serif"/>
          <w:sz w:val="27"/>
          <w:szCs w:val="27"/>
        </w:rPr>
        <w:t xml:space="preserve">которой </w:t>
      </w:r>
      <w:r>
        <w:rPr>
          <w:rFonts w:ascii="PT Astra Serif" w:hAnsi="PT Astra Serif" w:cs="PT Astra Serif"/>
          <w:bCs/>
          <w:sz w:val="27"/>
          <w:szCs w:val="27"/>
        </w:rPr>
        <w:t xml:space="preserve">устанавливается бессрочно.</w:t>
      </w:r>
      <w:r/>
    </w:p>
    <w:p>
      <w:pPr>
        <w:ind w:firstLine="709"/>
        <w:jc w:val="both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910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b w:val="0"/>
          <w:sz w:val="27"/>
          <w:szCs w:val="27"/>
        </w:rPr>
        <w:t xml:space="preserve">Статья 2.</w:t>
      </w:r>
      <w:r>
        <w:rPr>
          <w:rFonts w:ascii="PT Astra Serif" w:hAnsi="PT Astra Serif" w:cs="PT Astra Serif"/>
          <w:sz w:val="27"/>
          <w:szCs w:val="27"/>
        </w:rPr>
        <w:t xml:space="preserve"> Сфера действия настоящего Закона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pacing w:val="6"/>
          <w:sz w:val="27"/>
          <w:szCs w:val="27"/>
        </w:rPr>
      </w:pPr>
      <w:r>
        <w:rPr>
          <w:rFonts w:ascii="PT Astra Serif" w:hAnsi="PT Astra Serif" w:cs="PT Astra Serif"/>
          <w:spacing w:val="6"/>
          <w:sz w:val="27"/>
          <w:szCs w:val="27"/>
        </w:rPr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pacing w:val="6"/>
          <w:sz w:val="27"/>
          <w:szCs w:val="27"/>
        </w:rPr>
      </w:pPr>
      <w:r>
        <w:rPr>
          <w:rFonts w:ascii="PT Astra Serif" w:hAnsi="PT Astra Serif" w:cs="PT Astra Serif"/>
          <w:spacing w:val="6"/>
          <w:sz w:val="27"/>
          <w:szCs w:val="27"/>
        </w:rPr>
        <w:t xml:space="preserve">1. Предоставление мер социальной поддержки осуществляется  многодетным семьям, </w:t>
      </w:r>
      <w:r>
        <w:rPr>
          <w:rFonts w:ascii="PT Astra Serif" w:hAnsi="PT Astra Serif" w:cs="PT Astra Serif"/>
          <w:sz w:val="27"/>
          <w:szCs w:val="27"/>
        </w:rPr>
        <w:t xml:space="preserve">имеющим в своем составе трех и более детей, не достигших возраста 18 лет или возраста 23 лет при условии их обучения в организации, осуществляющей образовательную деятельность, по очной форме обучения.</w:t>
      </w:r>
      <w:r>
        <w:rPr>
          <w:rFonts w:ascii="PT Astra Serif" w:hAnsi="PT Astra Serif" w:cs="PT Astra Serif"/>
          <w:spacing w:val="6"/>
          <w:sz w:val="27"/>
          <w:szCs w:val="27"/>
        </w:rPr>
        <w:t xml:space="preserve"> 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  <w:t xml:space="preserve">2.</w:t>
      </w:r>
      <w:r>
        <w:rPr>
          <w:rFonts w:ascii="PT Astra Serif" w:hAnsi="PT Astra Serif" w:cs="PT Astra Serif"/>
          <w:sz w:val="27"/>
          <w:szCs w:val="27"/>
        </w:rPr>
        <w:t xml:space="preserve"> В целях предоставления мер социальной поддержки в число детей, в том числе совершеннолетних, учитываемых в составе семьи, не включаются дети: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pacing w:val="6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1) в отношении которых родители лишены родительских прав или ограничены в родительских правах;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2) в отношении которых отменено усыновление;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3) признанные судом безвестно отсутствующими либо объявленные умершими.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3. Меры социальной поддержки предоставляются многодетным семьям, в которых один или оба родителя (опекуна, попечит</w:t>
      </w:r>
      <w:r>
        <w:rPr>
          <w:rFonts w:ascii="PT Astra Serif" w:hAnsi="PT Astra Serif" w:cs="PT Astra Serif"/>
          <w:sz w:val="27"/>
          <w:szCs w:val="27"/>
        </w:rPr>
        <w:t xml:space="preserve">еля) являются гражданами Российской Федерации, в том числе вынужденными переселенцами, проживающим на территории Алтайского края, многодетным семьям иностранных граждан и лиц без гражданства, в том числе беженцев, проживающим на территории Алтайского края.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b/>
          <w:sz w:val="27"/>
          <w:szCs w:val="27"/>
        </w:rPr>
      </w:pPr>
      <w:r>
        <w:rPr>
          <w:rFonts w:ascii="PT Astra Serif" w:hAnsi="PT Astra Serif" w:cs="PT Astra Serif"/>
          <w:b/>
          <w:sz w:val="27"/>
          <w:szCs w:val="27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51" w:type="dxa"/>
            <w:textDirection w:val="lrTb"/>
            <w:noWrap w:val="false"/>
          </w:tcPr>
          <w:p>
            <w:pPr>
              <w:pStyle w:val="908"/>
              <w:ind w:right="-113" w:firstLine="709"/>
              <w:jc w:val="both"/>
              <w:rPr>
                <w:rFonts w:ascii="PT Astra Serif" w:hAnsi="PT Astra Serif" w:cs="PT Astra Serif"/>
                <w:b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Статья 3.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903" w:type="dxa"/>
            <w:textDirection w:val="lrTb"/>
            <w:noWrap w:val="false"/>
          </w:tcPr>
          <w:p>
            <w:pPr>
              <w:pStyle w:val="908"/>
              <w:ind w:left="-57" w:firstLine="0"/>
              <w:jc w:val="both"/>
              <w:rPr>
                <w:rFonts w:ascii="PT Astra Serif" w:hAnsi="PT Astra Serif" w:cs="PT Astra Serif"/>
                <w:b/>
                <w:sz w:val="27"/>
                <w:szCs w:val="27"/>
              </w:rPr>
            </w:pPr>
            <w:r>
              <w:rPr>
                <w:rFonts w:ascii="PT Astra Serif" w:hAnsi="PT Astra Serif" w:cs="PT Astra Serif"/>
                <w:b/>
                <w:sz w:val="27"/>
                <w:szCs w:val="27"/>
              </w:rPr>
              <w:t xml:space="preserve">Меры социальной поддержки многодетных семей в Алтайском крае</w:t>
            </w:r>
            <w:r/>
          </w:p>
        </w:tc>
      </w:tr>
    </w:tbl>
    <w:p>
      <w:pPr>
        <w:pStyle w:val="908"/>
        <w:ind w:firstLine="709"/>
        <w:jc w:val="both"/>
        <w:rPr>
          <w:rFonts w:ascii="PT Astra Serif" w:hAnsi="PT Astra Serif" w:cs="PT Astra Serif"/>
          <w:b/>
          <w:sz w:val="27"/>
          <w:szCs w:val="27"/>
        </w:rPr>
      </w:pPr>
      <w:r>
        <w:rPr>
          <w:rFonts w:ascii="PT Astra Serif" w:hAnsi="PT Astra Serif" w:cs="PT Astra Serif"/>
          <w:b/>
          <w:sz w:val="27"/>
          <w:szCs w:val="27"/>
        </w:rPr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  <w:highlight w:val="none"/>
        </w:rPr>
      </w:pPr>
      <w:r>
        <w:rPr>
          <w:rFonts w:ascii="PT Astra Serif" w:hAnsi="PT Astra Serif" w:cs="PT Astra Serif"/>
          <w:sz w:val="27"/>
          <w:szCs w:val="27"/>
        </w:rPr>
        <w:t xml:space="preserve">1. Многодетным семьям предоставляются следующие меры социальной поддержки: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highlight w:val="none"/>
        </w:rPr>
      </w:r>
      <w:r>
        <w:rPr>
          <w:rFonts w:ascii="PT Astra Serif" w:hAnsi="PT Astra Serif" w:cs="PT Astra Serif"/>
          <w:sz w:val="27"/>
          <w:szCs w:val="27"/>
          <w:highlight w:val="none"/>
        </w:rPr>
      </w:r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1) бесплатное посещение краевых государственных и муниципальных музеев, парков культуры и отдыха, а также выставок, организованных краевыми государственными и муниципальными учреждениями культуры;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2) бесплатное обеспечение детей в возрасте до 6 лет необходимыми лека</w:t>
      </w:r>
      <w:r>
        <w:rPr>
          <w:rFonts w:ascii="PT Astra Serif" w:hAnsi="PT Astra Serif" w:cs="PT Astra Serif"/>
          <w:sz w:val="27"/>
          <w:szCs w:val="27"/>
        </w:rPr>
        <w:t xml:space="preserve">рственными препаратами для медицинского применения в объеме не менее, чем это предусмотрено перечнем жизненно необходимых и важнейших лекарственных препаратов, по рецептам на лекарственные препараты, в порядке, установленном Правительством Алтайского края;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highlight w:val="yellow"/>
        </w:rPr>
      </w:pPr>
      <w:r>
        <w:rPr>
          <w:rFonts w:ascii="PT Astra Serif" w:hAnsi="PT Astra Serif" w:cs="PT Astra Serif"/>
          <w:sz w:val="27"/>
          <w:szCs w:val="27"/>
        </w:rPr>
        <w:t xml:space="preserve">3) </w:t>
      </w:r>
      <w:r>
        <w:rPr>
          <w:rFonts w:ascii="PT Astra Serif" w:hAnsi="PT Astra Serif" w:cs="PT Astra Serif"/>
          <w:sz w:val="28"/>
          <w:szCs w:val="28"/>
        </w:rPr>
        <w:t xml:space="preserve">для обучающихся общеобразовательных организаций - бесплатный проезд автомобильным транспортом общего пользования (кроме легкового такси) и городским наземным электрическим транспортом в городском сообщении по </w:t>
      </w:r>
      <w:r>
        <w:rPr>
          <w:rFonts w:ascii="PT Astra Serif" w:hAnsi="PT Astra Serif" w:cs="PT Astra Serif"/>
          <w:sz w:val="28"/>
          <w:szCs w:val="28"/>
        </w:rPr>
        <w:t xml:space="preserve">действующим </w:t>
      </w:r>
      <w:r>
        <w:rPr>
          <w:rFonts w:ascii="PT Astra Serif" w:hAnsi="PT Astra Serif" w:cs="PT Astra Serif"/>
          <w:sz w:val="28"/>
          <w:szCs w:val="28"/>
        </w:rPr>
        <w:t xml:space="preserve">муниципальным маршрутам регулярных перевозок, автомобильным транспортом общего пользования (кроме легкового такси) в пригородном сообщении </w:t>
      </w:r>
      <w:r>
        <w:rPr>
          <w:rFonts w:ascii="PT Astra Serif" w:hAnsi="PT Astra Serif" w:cs="PT Astra Serif"/>
          <w:sz w:val="28"/>
          <w:szCs w:val="28"/>
        </w:rPr>
        <w:t xml:space="preserve">по действующим</w:t>
      </w:r>
      <w:r>
        <w:rPr>
          <w:rFonts w:ascii="PT Astra Serif" w:hAnsi="PT Astra Serif" w:cs="PT Astra Serif"/>
          <w:sz w:val="28"/>
          <w:szCs w:val="28"/>
        </w:rPr>
        <w:t xml:space="preserve"> муниципальным и межмуниципальным маршрутам регулярных перевозок в период с 1 сентября по 31 мая включительно</w:t>
      </w:r>
      <w:r>
        <w:rPr>
          <w:rFonts w:ascii="PT Astra Serif" w:hAnsi="PT Astra Serif" w:cs="PT Astra Serif"/>
          <w:sz w:val="27"/>
          <w:szCs w:val="27"/>
        </w:rPr>
        <w:t xml:space="preserve">; 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4) предоставление бесплатного одноразового горячего питания детям, обучающимся в краевых государственных и муниципальных образовательны</w:t>
      </w:r>
      <w:r>
        <w:rPr>
          <w:rFonts w:ascii="PT Astra Serif" w:hAnsi="PT Astra Serif" w:cs="PT Astra Serif"/>
          <w:sz w:val="27"/>
          <w:szCs w:val="27"/>
        </w:rPr>
        <w:t xml:space="preserve">х организациях по образовательным программам основного общего или среднего общего образования, обучающимся очной формы обучения в краевых государственных профессиональных образовательных организациях в порядке, установленном Правительством Алтайского края;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5) обеспечение обучающихся общеобразовательных организаций одеждой для посещения учебных занятий, а также спортивной формой на весь период обучения в виде предоставления денежной выплаты в порядке и размерах, установленных Правительством Алтайского края;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6</w:t>
      </w:r>
      <w:r>
        <w:rPr>
          <w:rFonts w:ascii="PT Astra Serif" w:hAnsi="PT Astra Serif" w:cs="PT Astra Serif"/>
          <w:sz w:val="27"/>
          <w:szCs w:val="27"/>
        </w:rPr>
        <w:t xml:space="preserve">) первоочередное предоставление в летний период путевок в организации отдыха детей и их оздоровления на территории Алтайского края детям в возрасте от шести с половиной до семнадцати лет включительно в порядке, установленном Правительством Алтайского края;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7) первоочередное зачисление детей в организации, осуществляющие образовательную деятельность по реализации образовательных программ дошкольного образования, в соответствии с законодательством Российской Федерации;</w:t>
      </w:r>
      <w:r/>
    </w:p>
    <w:p>
      <w:pPr>
        <w:pStyle w:val="908"/>
        <w:ind w:firstLine="709"/>
        <w:jc w:val="both"/>
        <w:spacing w:line="235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pacing w:val="-2"/>
          <w:sz w:val="27"/>
          <w:szCs w:val="27"/>
        </w:rPr>
        <w:t xml:space="preserve">8) льгота по оплате жилого помещения и коммунальных услуг в виде компенсации расходов на оплату жилого помещения и коммунальных услуг (далее – компенсация) в размере 30 процентов платы за жилищно-комму</w:t>
      </w:r>
      <w:r>
        <w:rPr>
          <w:rFonts w:ascii="PT Astra Serif" w:hAnsi="PT Astra Serif" w:cs="PT Astra Serif"/>
          <w:spacing w:val="-2"/>
          <w:sz w:val="27"/>
          <w:szCs w:val="27"/>
        </w:rPr>
        <w:t xml:space="preserve">нальные услуги, в том числе расходов на оплату твердого топлива и транспортных расходов по доставке топлива, в пределах нормативов потребления коммунальных услуг и коммунальных ресурсов в целях содержания общего имущества в многоквартирном доме, минимально</w:t>
      </w:r>
      <w:r>
        <w:rPr>
          <w:rFonts w:ascii="PT Astra Serif" w:hAnsi="PT Astra Serif" w:cs="PT Astra Serif"/>
          <w:spacing w:val="-2"/>
          <w:sz w:val="27"/>
          <w:szCs w:val="27"/>
        </w:rPr>
        <w:t xml:space="preserve">го размера взноса на капитальный ремонт общего имущества в многоквартирном доме, краевых стандартов нормативной площади жилого помещения, используемых при предоставлении мер социальной поддержки, норм твердого топлива, установленных для продажи населению. </w:t>
      </w:r>
      <w:r>
        <w:rPr>
          <w:rFonts w:ascii="PT Astra Serif" w:hAnsi="PT Astra Serif" w:cs="PT Astra Serif"/>
          <w:sz w:val="27"/>
          <w:szCs w:val="27"/>
        </w:rPr>
        <w:t xml:space="preserve">Компенсация предоставляется многодетным семьям, проживающим в жилых помещениях независимо от вида ж</w:t>
      </w:r>
      <w:r>
        <w:rPr>
          <w:rFonts w:ascii="PT Astra Serif" w:hAnsi="PT Astra Serif" w:cs="PT Astra Serif"/>
          <w:sz w:val="27"/>
          <w:szCs w:val="27"/>
        </w:rPr>
        <w:t xml:space="preserve">илищного фонда,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услуг. Компенсация предоставляется в порядке, установленном законом Алтайского края;</w:t>
      </w:r>
      <w:r/>
    </w:p>
    <w:p>
      <w:pPr>
        <w:pStyle w:val="908"/>
        <w:ind w:firstLine="709"/>
        <w:jc w:val="both"/>
        <w:spacing w:line="235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9) содействие в улучшении жилищных условий в рамках использования средств (части с</w:t>
      </w:r>
      <w:r>
        <w:rPr>
          <w:rFonts w:ascii="PT Astra Serif" w:hAnsi="PT Astra Serif" w:cs="PT Astra Serif"/>
          <w:sz w:val="27"/>
          <w:szCs w:val="27"/>
        </w:rPr>
        <w:t xml:space="preserve">редств) материнского (семейного) капитала и предоставлении земельных участков, обеспеченных необходимыми объектами инфраструктуры. Земельный участок предоставляется многодетной семье бесплатно в порядке и на условиях, установленных законом Алтайского края;</w:t>
      </w:r>
      <w:r/>
    </w:p>
    <w:p>
      <w:pPr>
        <w:pStyle w:val="908"/>
        <w:ind w:firstLine="709"/>
        <w:jc w:val="both"/>
        <w:spacing w:line="235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10) иные меры социальной поддержки, предусмотренные законодательством Российской Федерации и Алтайского края.</w:t>
      </w:r>
      <w:r/>
    </w:p>
    <w:p>
      <w:pPr>
        <w:pStyle w:val="908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2. Органы местного самоуправления муниципальных образований, расположенных на территории Алтайского края, вправе установить: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highlight w:val="yellow"/>
        </w:rPr>
      </w:pPr>
      <w:r>
        <w:rPr>
          <w:rFonts w:ascii="PT Astra Serif" w:hAnsi="PT Astra Serif" w:cs="PT Astra Serif"/>
          <w:sz w:val="27"/>
          <w:szCs w:val="27"/>
        </w:rPr>
        <w:t xml:space="preserve">1</w:t>
      </w:r>
      <w:r>
        <w:rPr>
          <w:rFonts w:ascii="PT Astra Serif" w:hAnsi="PT Astra Serif" w:cs="PT Astra Serif"/>
          <w:sz w:val="27"/>
          <w:szCs w:val="27"/>
        </w:rPr>
        <w:t xml:space="preserve">) </w:t>
      </w:r>
      <w:r>
        <w:rPr>
          <w:rFonts w:ascii="PT Astra Serif" w:hAnsi="PT Astra Serif" w:cs="PT Astra Serif"/>
          <w:sz w:val="28"/>
          <w:szCs w:val="28"/>
        </w:rPr>
        <w:t xml:space="preserve">для обучающихся общеобразовательных организаций - бесплатный проезд автомобильным транспортом общего пользования (кроме легкового такси) и городским наземным электрическим транспортом в городском сообщении по действующим муници</w:t>
      </w:r>
      <w:r>
        <w:rPr>
          <w:rFonts w:ascii="PT Astra Serif" w:hAnsi="PT Astra Serif" w:cs="PT Astra Serif"/>
          <w:sz w:val="28"/>
          <w:szCs w:val="28"/>
        </w:rPr>
        <w:t xml:space="preserve">пальным маршрутам регулярных перевозок, автомобильным транспортом общего пользования (кроме легкового такси) в пригородном сообщении по действующим муниципальным и межмуниципальным маршрутам регулярных перевозок в период с 1 сентября по 31 мая включительно</w:t>
      </w:r>
      <w:r>
        <w:rPr>
          <w:rFonts w:ascii="PT Astra Serif" w:hAnsi="PT Astra Serif" w:cs="PT Astra Serif"/>
          <w:sz w:val="27"/>
          <w:szCs w:val="27"/>
        </w:rPr>
        <w:t xml:space="preserve">; 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2) иные меры социальной поддержки, предусмотренные законодательством Российской Федерации и Алтайского края.</w:t>
      </w:r>
      <w:r/>
    </w:p>
    <w:p>
      <w:pPr>
        <w:pStyle w:val="908"/>
        <w:ind w:firstLine="709"/>
        <w:jc w:val="both"/>
        <w:spacing w:line="235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3. При наличии в составе многодетной семьи лиц, имеющих право на меры социальной поддержки по иному льготному основанию, меры социальной поддержки предоставляются таким лицам по одному основанию по их выбору.</w:t>
      </w:r>
      <w:r/>
    </w:p>
    <w:p>
      <w:pPr>
        <w:pStyle w:val="908"/>
        <w:ind w:firstLine="709"/>
        <w:jc w:val="both"/>
        <w:spacing w:line="235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4. Финансирование расходов на предоставление мер социальной поддержки осуществляется за счет средств краевого, местных бюджетов, а также иных источников финансирования.</w:t>
      </w:r>
      <w:r/>
    </w:p>
    <w:p>
      <w:pPr>
        <w:pStyle w:val="908"/>
        <w:ind w:firstLine="0"/>
        <w:jc w:val="both"/>
        <w:spacing w:line="235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51" w:type="dxa"/>
            <w:textDirection w:val="lrTb"/>
            <w:noWrap w:val="false"/>
          </w:tcPr>
          <w:p>
            <w:pPr>
              <w:pStyle w:val="908"/>
              <w:ind w:right="-113" w:firstLine="709"/>
              <w:jc w:val="both"/>
              <w:spacing w:line="235" w:lineRule="auto"/>
              <w:rPr>
                <w:rFonts w:ascii="PT Astra Serif" w:hAnsi="PT Astra Serif" w:cs="PT Astra Serif"/>
                <w:b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Статья 4.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903" w:type="dxa"/>
            <w:textDirection w:val="lrTb"/>
            <w:noWrap w:val="false"/>
          </w:tcPr>
          <w:p>
            <w:pPr>
              <w:pStyle w:val="908"/>
              <w:ind w:left="-57" w:firstLine="0"/>
              <w:jc w:val="both"/>
              <w:spacing w:line="235" w:lineRule="auto"/>
              <w:rPr>
                <w:rFonts w:ascii="PT Astra Serif" w:hAnsi="PT Astra Serif" w:cs="PT Astra Serif"/>
                <w:b/>
                <w:sz w:val="27"/>
                <w:szCs w:val="27"/>
              </w:rPr>
            </w:pPr>
            <w:r>
              <w:rPr>
                <w:rFonts w:ascii="PT Astra Serif" w:hAnsi="PT Astra Serif" w:cs="PT Astra Serif"/>
                <w:b/>
                <w:sz w:val="27"/>
                <w:szCs w:val="27"/>
              </w:rPr>
              <w:t xml:space="preserve">Обязанность родителей (опекунов, попечителей), получающих меры социальной поддержки</w:t>
            </w:r>
            <w:r/>
          </w:p>
        </w:tc>
      </w:tr>
    </w:tbl>
    <w:p>
      <w:pPr>
        <w:pStyle w:val="908"/>
        <w:ind w:firstLine="709"/>
        <w:jc w:val="both"/>
        <w:spacing w:line="235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908"/>
        <w:ind w:firstLine="709"/>
        <w:jc w:val="both"/>
        <w:spacing w:line="235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1. Родители (опекуны, попечители), получающие меры социальной поддержки, предусмотренные настоящим Законом, обязаны до </w:t>
      </w:r>
      <w:r>
        <w:rPr>
          <w:rFonts w:ascii="PT Astra Serif" w:hAnsi="PT Astra Serif" w:cs="PT Astra Serif"/>
          <w:sz w:val="27"/>
          <w:szCs w:val="27"/>
        </w:rPr>
        <w:t xml:space="preserve">первого числа месяца, следующего за месяцем наступления обстоятельств, влекущих утрату права на получение предусмотренных настоящим Законом мер социальной поддержки, уведомить уполномоченную организацию по месту жительства о наступлении этих обстоятельств.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2. Денежные средства, излишне выплач</w:t>
      </w:r>
      <w:r>
        <w:rPr>
          <w:rFonts w:ascii="PT Astra Serif" w:hAnsi="PT Astra Serif" w:cs="PT Astra Serif"/>
          <w:sz w:val="27"/>
          <w:szCs w:val="27"/>
        </w:rPr>
        <w:t xml:space="preserve">енные получателю мер социальной поддержки, предусмотренных настоящим Законом, вследствие представления им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</w:t>
      </w:r>
      <w:r>
        <w:rPr>
          <w:rFonts w:ascii="PT Astra Serif" w:hAnsi="PT Astra Serif" w:cs="PT Astra Serif"/>
          <w:sz w:val="27"/>
          <w:szCs w:val="27"/>
        </w:rPr>
        <w:t xml:space="preserve">у права на предоставление мер социальной поддержки, предусмотренных настоящим Законом, возмещаются им добровольно, а в случае отказа от добровольного возврата средств - истребуются в судебном порядке в соответствии с законодательством Российской Федерации.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Статья 5. </w:t>
      </w:r>
      <w:r>
        <w:rPr>
          <w:rFonts w:ascii="PT Astra Serif" w:hAnsi="PT Astra Serif" w:cs="PT Astra Serif"/>
          <w:b/>
          <w:sz w:val="27"/>
          <w:szCs w:val="27"/>
        </w:rPr>
        <w:t xml:space="preserve">Заключительные положения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1. Настоящий Закон вступает в силу со дня его официального опубликования.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2. Со дня вступления в силу настоящего Закона признать утратившими силу: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1) закон Алтайского края от 29 декабря 2006 года № 148-ЗС «О дополнительных мерах социальной поддержки многодетных семей </w:t>
      </w:r>
      <w:r>
        <w:rPr>
          <w:rFonts w:ascii="PT Astra Serif" w:hAnsi="PT Astra Serif" w:cs="PT Astra Serif"/>
          <w:sz w:val="27"/>
          <w:szCs w:val="27"/>
        </w:rPr>
        <w:br/>
        <w:t xml:space="preserve">в Алтайском крае» (Сборник законодательства Алтайского края, 2006, № 128, часть </w:t>
      </w:r>
      <w:r>
        <w:rPr>
          <w:rFonts w:ascii="PT Astra Serif" w:hAnsi="PT Astra Serif" w:cs="PT Astra Serif"/>
          <w:sz w:val="27"/>
          <w:szCs w:val="27"/>
          <w:lang w:val="en-US"/>
        </w:rPr>
        <w:t xml:space="preserve">II</w:t>
      </w:r>
      <w:r>
        <w:rPr>
          <w:rFonts w:ascii="PT Astra Serif" w:hAnsi="PT Astra Serif" w:cs="PT Astra Serif"/>
          <w:sz w:val="27"/>
          <w:szCs w:val="27"/>
        </w:rPr>
        <w:t xml:space="preserve">);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2) статью 4 закона Алтайского края от 31 октября 2008 года № 95-ЗС «О внесении изменений в отдельные законодательные акты Алтайского края» (Сборник законодательства Алтайского края, 2008, № 150, часть </w:t>
      </w:r>
      <w:r>
        <w:rPr>
          <w:rFonts w:ascii="PT Astra Serif" w:hAnsi="PT Astra Serif" w:cs="PT Astra Serif"/>
          <w:sz w:val="27"/>
          <w:szCs w:val="27"/>
          <w:lang w:val="en-US"/>
        </w:rPr>
        <w:t xml:space="preserve">I</w:t>
      </w:r>
      <w:r>
        <w:rPr>
          <w:rFonts w:ascii="PT Astra Serif" w:hAnsi="PT Astra Serif" w:cs="PT Astra Serif"/>
          <w:sz w:val="27"/>
          <w:szCs w:val="27"/>
        </w:rPr>
        <w:t xml:space="preserve">);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3) статью 16 закона Алтайского края от 31 декабря 2013 года № 97-ЗС «О внесении изменений в отдельные законодательные акты Алтайского края» (Сборник законодательства Алтайского края, 2013, № 212, часть </w:t>
      </w:r>
      <w:r>
        <w:rPr>
          <w:rFonts w:ascii="PT Astra Serif" w:hAnsi="PT Astra Serif" w:cs="PT Astra Serif"/>
          <w:sz w:val="27"/>
          <w:szCs w:val="27"/>
          <w:lang w:val="en-US"/>
        </w:rPr>
        <w:t xml:space="preserve">I</w:t>
      </w:r>
      <w:r>
        <w:rPr>
          <w:rFonts w:ascii="PT Astra Serif" w:hAnsi="PT Astra Serif" w:cs="PT Astra Serif"/>
          <w:sz w:val="27"/>
          <w:szCs w:val="27"/>
        </w:rPr>
        <w:t xml:space="preserve">);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4) статью 5 закона Алтайского края от 1 октября 2015 года № 91-ЗС «О внесении изменений в отдельные законы Алтайского края» (Сборник законодательства Алтайского края, 2015, № 234);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5) статью 3 закона Алтайского края от 4 октября 2017 года № 65-ЗС «О внесении изменений в отдельные законы Алтайского края» (Официальный интернет-портал правовой информации (www.pravo.gov.ru), 5 октября 2017 года);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6) закон Алтайского </w:t>
      </w:r>
      <w:r>
        <w:rPr>
          <w:rFonts w:ascii="PT Astra Serif" w:hAnsi="PT Astra Serif" w:cs="PT Astra Serif"/>
          <w:sz w:val="27"/>
          <w:szCs w:val="27"/>
        </w:rPr>
        <w:t xml:space="preserve">края от 8 октября 2019 года № 77-ЗС «О внесении изменений в статьи 2 и 3 закона Алтайского края «О дополнительных мерах социальной поддержки многодетных семей в Алтайском крае» и статью 1 закона Алтайского края «О компенсационных выплатах на питание обучаю</w:t>
      </w:r>
      <w:r>
        <w:rPr>
          <w:rFonts w:ascii="PT Astra Serif" w:hAnsi="PT Astra Serif" w:cs="PT Astra Serif"/>
          <w:sz w:val="27"/>
          <w:szCs w:val="27"/>
        </w:rPr>
        <w:t xml:space="preserve">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поддержке» (Официальный интернет-портал правовой информации (www.pravo.gov.ru), 8 октября 2019 года);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7) статью 3 закона Алтайского края от 2 октября 2020 года № 65-ЗС «О внесении изменений в отдельные законы Алтайского края» (Официальный интернет-портал правовой информации (www.pravo.gov.ru), 5 октября 2020 года);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8) статью 10 закона Алтайского края от 24 июня 2021 года № 64-ЗС «О внесении изменений в отдельные законы Алтайского края» (Официальный интернет-портал правовой информации (www.pravo.gov.ru), 24 июня 2021 года).</w:t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908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0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33" w:type="dxa"/>
            <w:textDirection w:val="lrTb"/>
            <w:noWrap w:val="false"/>
          </w:tcPr>
          <w:p>
            <w:pPr>
              <w:widowControl w:val="off"/>
              <w:tabs>
                <w:tab w:val="left" w:pos="720" w:leader="none"/>
              </w:tabs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Губернатор Алтайского края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1" w:type="dxa"/>
            <w:vAlign w:val="bottom"/>
            <w:textDirection w:val="lrTb"/>
            <w:noWrap w:val="false"/>
          </w:tcPr>
          <w:p>
            <w:pPr>
              <w:jc w:val="right"/>
              <w:widowControl w:val="off"/>
              <w:tabs>
                <w:tab w:val="left" w:pos="720" w:leader="none"/>
              </w:tabs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В.П. Томенко</w:t>
            </w:r>
            <w:r/>
          </w:p>
        </w:tc>
      </w:tr>
    </w:tbl>
    <w:p>
      <w:pPr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425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4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ru-RU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rPr>
        <w:rStyle w:val="918"/>
      </w:rPr>
      <w:framePr w:wrap="around" w:vAnchor="text" w:hAnchor="margin" w:xAlign="right" w:y="1"/>
    </w:pPr>
    <w:r>
      <w:rPr>
        <w:rStyle w:val="918"/>
      </w:rPr>
      <w:fldChar w:fldCharType="begin"/>
    </w:r>
    <w:r>
      <w:rPr>
        <w:rStyle w:val="918"/>
      </w:rPr>
      <w:instrText xml:space="preserve">PAGE  </w:instrText>
    </w:r>
    <w:r>
      <w:rPr>
        <w:rStyle w:val="918"/>
      </w:rPr>
      <w:fldChar w:fldCharType="end"/>
    </w:r>
    <w:r/>
  </w:p>
  <w:p>
    <w:pPr>
      <w:pStyle w:val="724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9" w:hanging="1080"/>
        <w:tabs>
          <w:tab w:val="num" w:pos="178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09" w:hanging="1200"/>
        <w:tabs>
          <w:tab w:val="num" w:pos="190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4" w:hanging="360"/>
        <w:tabs>
          <w:tab w:val="num" w:pos="1144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4" w:hanging="360"/>
        <w:tabs>
          <w:tab w:val="num" w:pos="186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84" w:hanging="180"/>
        <w:tabs>
          <w:tab w:val="num" w:pos="258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04" w:hanging="360"/>
        <w:tabs>
          <w:tab w:val="num" w:pos="330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24" w:hanging="360"/>
        <w:tabs>
          <w:tab w:val="num" w:pos="402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744" w:hanging="180"/>
        <w:tabs>
          <w:tab w:val="num" w:pos="474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64" w:hanging="360"/>
        <w:tabs>
          <w:tab w:val="num" w:pos="546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84" w:hanging="360"/>
        <w:tabs>
          <w:tab w:val="num" w:pos="618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04" w:hanging="180"/>
        <w:tabs>
          <w:tab w:val="num" w:pos="6904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55" w:hanging="1035"/>
        <w:tabs>
          <w:tab w:val="num" w:pos="1755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4" w:hanging="360"/>
        <w:tabs>
          <w:tab w:val="num" w:pos="1144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4" w:hanging="360"/>
        <w:tabs>
          <w:tab w:val="num" w:pos="186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84" w:hanging="180"/>
        <w:tabs>
          <w:tab w:val="num" w:pos="258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04" w:hanging="360"/>
        <w:tabs>
          <w:tab w:val="num" w:pos="330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24" w:hanging="360"/>
        <w:tabs>
          <w:tab w:val="num" w:pos="402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744" w:hanging="180"/>
        <w:tabs>
          <w:tab w:val="num" w:pos="474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64" w:hanging="360"/>
        <w:tabs>
          <w:tab w:val="num" w:pos="546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84" w:hanging="360"/>
        <w:tabs>
          <w:tab w:val="num" w:pos="618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04" w:hanging="180"/>
        <w:tabs>
          <w:tab w:val="num" w:pos="6904" w:leader="none"/>
        </w:tabs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  <w:rPr>
      <w:lang w:eastAsia="ru-RU"/>
    </w:rPr>
  </w:style>
  <w:style w:type="paragraph" w:styleId="693">
    <w:name w:val="Heading 1"/>
    <w:basedOn w:val="692"/>
    <w:next w:val="692"/>
    <w:link w:val="765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  <w:lang w:val="en-US" w:eastAsia="en-US"/>
    </w:rPr>
  </w:style>
  <w:style w:type="paragraph" w:styleId="694">
    <w:name w:val="Heading 2"/>
    <w:basedOn w:val="692"/>
    <w:next w:val="692"/>
    <w:link w:val="7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lang w:val="en-US" w:eastAsia="en-US"/>
    </w:rPr>
  </w:style>
  <w:style w:type="paragraph" w:styleId="695">
    <w:name w:val="Heading 3"/>
    <w:basedOn w:val="692"/>
    <w:next w:val="692"/>
    <w:link w:val="7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  <w:lang w:val="en-US" w:eastAsia="en-US"/>
    </w:rPr>
  </w:style>
  <w:style w:type="paragraph" w:styleId="696">
    <w:name w:val="Heading 4"/>
    <w:basedOn w:val="692"/>
    <w:next w:val="692"/>
    <w:link w:val="7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  <w:lang w:val="en-US" w:eastAsia="en-US"/>
    </w:rPr>
  </w:style>
  <w:style w:type="paragraph" w:styleId="697">
    <w:name w:val="Heading 5"/>
    <w:basedOn w:val="692"/>
    <w:next w:val="692"/>
    <w:link w:val="7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  <w:lang w:val="en-US" w:eastAsia="en-US"/>
    </w:rPr>
  </w:style>
  <w:style w:type="paragraph" w:styleId="698">
    <w:name w:val="Heading 6"/>
    <w:basedOn w:val="692"/>
    <w:next w:val="692"/>
    <w:link w:val="7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  <w:lang w:val="en-US" w:eastAsia="en-US"/>
    </w:rPr>
  </w:style>
  <w:style w:type="paragraph" w:styleId="699">
    <w:name w:val="Heading 7"/>
    <w:basedOn w:val="692"/>
    <w:next w:val="692"/>
    <w:link w:val="7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  <w:lang w:val="en-US" w:eastAsia="en-US"/>
    </w:rPr>
  </w:style>
  <w:style w:type="paragraph" w:styleId="700">
    <w:name w:val="Heading 8"/>
    <w:basedOn w:val="692"/>
    <w:next w:val="692"/>
    <w:link w:val="7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  <w:lang w:val="en-US" w:eastAsia="en-US"/>
    </w:rPr>
  </w:style>
  <w:style w:type="paragraph" w:styleId="701">
    <w:name w:val="Heading 9"/>
    <w:basedOn w:val="692"/>
    <w:next w:val="692"/>
    <w:link w:val="7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  <w:lang w:val="en-US" w:eastAsia="en-US"/>
    </w:r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06" w:customStyle="1">
    <w:name w:val="Heading 2 Char"/>
    <w:uiPriority w:val="9"/>
    <w:rPr>
      <w:rFonts w:ascii="Arial" w:hAnsi="Arial" w:eastAsia="Arial" w:cs="Arial"/>
      <w:sz w:val="34"/>
    </w:rPr>
  </w:style>
  <w:style w:type="character" w:styleId="707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08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09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10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11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2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13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List Paragraph"/>
    <w:basedOn w:val="692"/>
    <w:uiPriority w:val="34"/>
    <w:qFormat/>
    <w:pPr>
      <w:contextualSpacing/>
      <w:ind w:left="720"/>
    </w:pPr>
  </w:style>
  <w:style w:type="paragraph" w:styleId="715">
    <w:name w:val="No Spacing"/>
    <w:uiPriority w:val="1"/>
    <w:qFormat/>
  </w:style>
  <w:style w:type="paragraph" w:styleId="716">
    <w:name w:val="Title"/>
    <w:basedOn w:val="692"/>
    <w:next w:val="692"/>
    <w:link w:val="774"/>
    <w:uiPriority w:val="10"/>
    <w:qFormat/>
    <w:pPr>
      <w:contextualSpacing/>
      <w:spacing w:before="300" w:after="200"/>
    </w:pPr>
    <w:rPr>
      <w:sz w:val="48"/>
      <w:szCs w:val="48"/>
      <w:lang w:val="en-US" w:eastAsia="en-US"/>
    </w:rPr>
  </w:style>
  <w:style w:type="character" w:styleId="717" w:customStyle="1">
    <w:name w:val="Title Char"/>
    <w:uiPriority w:val="10"/>
    <w:rPr>
      <w:sz w:val="48"/>
      <w:szCs w:val="48"/>
    </w:rPr>
  </w:style>
  <w:style w:type="paragraph" w:styleId="718">
    <w:name w:val="Subtitle"/>
    <w:basedOn w:val="692"/>
    <w:next w:val="692"/>
    <w:link w:val="775"/>
    <w:uiPriority w:val="11"/>
    <w:qFormat/>
    <w:pPr>
      <w:spacing w:before="200" w:after="200"/>
    </w:pPr>
    <w:rPr>
      <w:sz w:val="24"/>
      <w:szCs w:val="24"/>
      <w:lang w:val="en-US" w:eastAsia="en-US"/>
    </w:rPr>
  </w:style>
  <w:style w:type="character" w:styleId="719" w:customStyle="1">
    <w:name w:val="Subtitle Char"/>
    <w:uiPriority w:val="11"/>
    <w:rPr>
      <w:sz w:val="24"/>
      <w:szCs w:val="24"/>
    </w:rPr>
  </w:style>
  <w:style w:type="paragraph" w:styleId="720">
    <w:name w:val="Quote"/>
    <w:basedOn w:val="692"/>
    <w:next w:val="692"/>
    <w:link w:val="776"/>
    <w:uiPriority w:val="29"/>
    <w:qFormat/>
    <w:pPr>
      <w:ind w:left="720" w:right="720"/>
    </w:pPr>
    <w:rPr>
      <w:i/>
      <w:lang w:val="en-US" w:eastAsia="en-US"/>
    </w:rPr>
  </w:style>
  <w:style w:type="character" w:styleId="721" w:customStyle="1">
    <w:name w:val="Quote Char"/>
    <w:uiPriority w:val="29"/>
    <w:rPr>
      <w:i/>
    </w:rPr>
  </w:style>
  <w:style w:type="paragraph" w:styleId="722">
    <w:name w:val="Intense Quote"/>
    <w:basedOn w:val="692"/>
    <w:next w:val="692"/>
    <w:link w:val="77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lang w:val="en-US" w:eastAsia="en-US"/>
    </w:rPr>
  </w:style>
  <w:style w:type="character" w:styleId="723" w:customStyle="1">
    <w:name w:val="Intense Quote Char"/>
    <w:uiPriority w:val="30"/>
    <w:rPr>
      <w:i/>
    </w:rPr>
  </w:style>
  <w:style w:type="paragraph" w:styleId="724">
    <w:name w:val="Header"/>
    <w:basedOn w:val="692"/>
    <w:link w:val="916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725">
    <w:name w:val="Footer"/>
    <w:basedOn w:val="692"/>
    <w:link w:val="917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726">
    <w:name w:val="Caption"/>
    <w:basedOn w:val="692"/>
    <w:next w:val="692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727">
    <w:name w:val="Table Grid"/>
    <w:basedOn w:val="703"/>
    <w:uiPriority w:val="99"/>
    <w:tblPr/>
  </w:style>
  <w:style w:type="table" w:styleId="728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8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4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47">
    <w:name w:val="Hyperlink"/>
    <w:uiPriority w:val="99"/>
    <w:rPr>
      <w:rFonts w:cs="Times New Roman"/>
      <w:color w:val="0000ff"/>
      <w:u w:val="single"/>
    </w:rPr>
  </w:style>
  <w:style w:type="paragraph" w:styleId="748">
    <w:name w:val="footnote text"/>
    <w:basedOn w:val="692"/>
    <w:link w:val="906"/>
    <w:uiPriority w:val="99"/>
    <w:semiHidden/>
    <w:unhideWhenUsed/>
    <w:pPr>
      <w:spacing w:after="40"/>
    </w:pPr>
    <w:rPr>
      <w:sz w:val="18"/>
      <w:lang w:val="en-US" w:eastAsia="en-US"/>
    </w:rPr>
  </w:style>
  <w:style w:type="character" w:styleId="749" w:customStyle="1">
    <w:name w:val="Footnote Text Char"/>
    <w:uiPriority w:val="99"/>
    <w:rPr>
      <w:sz w:val="18"/>
    </w:rPr>
  </w:style>
  <w:style w:type="character" w:styleId="750">
    <w:name w:val="footnote reference"/>
    <w:uiPriority w:val="99"/>
    <w:unhideWhenUsed/>
    <w:rPr>
      <w:vertAlign w:val="superscript"/>
    </w:rPr>
  </w:style>
  <w:style w:type="paragraph" w:styleId="751">
    <w:name w:val="endnote text"/>
    <w:basedOn w:val="692"/>
    <w:link w:val="907"/>
    <w:uiPriority w:val="99"/>
    <w:semiHidden/>
    <w:unhideWhenUsed/>
    <w:rPr>
      <w:lang w:val="en-US" w:eastAsia="en-US"/>
    </w:rPr>
  </w:style>
  <w:style w:type="character" w:styleId="752" w:customStyle="1">
    <w:name w:val="Endnote Text Char"/>
    <w:uiPriority w:val="99"/>
    <w:rPr>
      <w:sz w:val="20"/>
    </w:rPr>
  </w:style>
  <w:style w:type="character" w:styleId="753">
    <w:name w:val="endnote reference"/>
    <w:uiPriority w:val="99"/>
    <w:semiHidden/>
    <w:unhideWhenUsed/>
    <w:rPr>
      <w:vertAlign w:val="superscript"/>
    </w:rPr>
  </w:style>
  <w:style w:type="paragraph" w:styleId="754">
    <w:name w:val="toc 1"/>
    <w:basedOn w:val="692"/>
    <w:next w:val="692"/>
    <w:uiPriority w:val="39"/>
    <w:unhideWhenUsed/>
    <w:pPr>
      <w:spacing w:after="57"/>
    </w:pPr>
  </w:style>
  <w:style w:type="paragraph" w:styleId="755">
    <w:name w:val="toc 2"/>
    <w:basedOn w:val="692"/>
    <w:next w:val="692"/>
    <w:uiPriority w:val="39"/>
    <w:unhideWhenUsed/>
    <w:pPr>
      <w:ind w:left="283"/>
      <w:spacing w:after="57"/>
    </w:pPr>
  </w:style>
  <w:style w:type="paragraph" w:styleId="756">
    <w:name w:val="toc 3"/>
    <w:basedOn w:val="692"/>
    <w:next w:val="692"/>
    <w:uiPriority w:val="39"/>
    <w:unhideWhenUsed/>
    <w:pPr>
      <w:ind w:left="567"/>
      <w:spacing w:after="57"/>
    </w:pPr>
  </w:style>
  <w:style w:type="paragraph" w:styleId="757">
    <w:name w:val="toc 4"/>
    <w:basedOn w:val="692"/>
    <w:next w:val="692"/>
    <w:uiPriority w:val="39"/>
    <w:unhideWhenUsed/>
    <w:pPr>
      <w:ind w:left="850"/>
      <w:spacing w:after="57"/>
    </w:pPr>
  </w:style>
  <w:style w:type="paragraph" w:styleId="758">
    <w:name w:val="toc 5"/>
    <w:basedOn w:val="692"/>
    <w:next w:val="692"/>
    <w:uiPriority w:val="39"/>
    <w:unhideWhenUsed/>
    <w:pPr>
      <w:ind w:left="1134"/>
      <w:spacing w:after="57"/>
    </w:pPr>
  </w:style>
  <w:style w:type="paragraph" w:styleId="759">
    <w:name w:val="toc 6"/>
    <w:basedOn w:val="692"/>
    <w:next w:val="692"/>
    <w:uiPriority w:val="39"/>
    <w:unhideWhenUsed/>
    <w:pPr>
      <w:ind w:left="1417"/>
      <w:spacing w:after="57"/>
    </w:pPr>
  </w:style>
  <w:style w:type="paragraph" w:styleId="760">
    <w:name w:val="toc 7"/>
    <w:basedOn w:val="692"/>
    <w:next w:val="692"/>
    <w:uiPriority w:val="39"/>
    <w:unhideWhenUsed/>
    <w:pPr>
      <w:ind w:left="1701"/>
      <w:spacing w:after="57"/>
    </w:pPr>
  </w:style>
  <w:style w:type="paragraph" w:styleId="761">
    <w:name w:val="toc 8"/>
    <w:basedOn w:val="692"/>
    <w:next w:val="692"/>
    <w:uiPriority w:val="39"/>
    <w:unhideWhenUsed/>
    <w:pPr>
      <w:ind w:left="1984"/>
      <w:spacing w:after="57"/>
    </w:pPr>
  </w:style>
  <w:style w:type="paragraph" w:styleId="762">
    <w:name w:val="toc 9"/>
    <w:basedOn w:val="692"/>
    <w:next w:val="692"/>
    <w:uiPriority w:val="39"/>
    <w:unhideWhenUsed/>
    <w:pPr>
      <w:ind w:left="2268"/>
      <w:spacing w:after="57"/>
    </w:pPr>
  </w:style>
  <w:style w:type="paragraph" w:styleId="763">
    <w:name w:val="TOC Heading"/>
    <w:uiPriority w:val="39"/>
    <w:unhideWhenUsed/>
  </w:style>
  <w:style w:type="paragraph" w:styleId="764">
    <w:name w:val="table of figures"/>
    <w:basedOn w:val="692"/>
    <w:next w:val="692"/>
    <w:uiPriority w:val="99"/>
    <w:unhideWhenUsed/>
  </w:style>
  <w:style w:type="character" w:styleId="765" w:customStyle="1">
    <w:name w:val="Заголовок 1 Знак"/>
    <w:link w:val="693"/>
    <w:uiPriority w:val="9"/>
    <w:rPr>
      <w:rFonts w:ascii="Arial" w:hAnsi="Arial" w:eastAsia="Arial" w:cs="Arial"/>
      <w:sz w:val="40"/>
      <w:szCs w:val="40"/>
    </w:rPr>
  </w:style>
  <w:style w:type="character" w:styleId="766" w:customStyle="1">
    <w:name w:val="Заголовок 2 Знак"/>
    <w:link w:val="694"/>
    <w:uiPriority w:val="9"/>
    <w:rPr>
      <w:rFonts w:ascii="Arial" w:hAnsi="Arial" w:eastAsia="Arial" w:cs="Arial"/>
      <w:sz w:val="34"/>
    </w:rPr>
  </w:style>
  <w:style w:type="character" w:styleId="767" w:customStyle="1">
    <w:name w:val="Заголовок 3 Знак"/>
    <w:link w:val="695"/>
    <w:uiPriority w:val="9"/>
    <w:rPr>
      <w:rFonts w:ascii="Arial" w:hAnsi="Arial" w:eastAsia="Arial" w:cs="Arial"/>
      <w:sz w:val="30"/>
      <w:szCs w:val="30"/>
    </w:rPr>
  </w:style>
  <w:style w:type="character" w:styleId="768" w:customStyle="1">
    <w:name w:val="Заголовок 4 Знак"/>
    <w:link w:val="696"/>
    <w:uiPriority w:val="9"/>
    <w:rPr>
      <w:rFonts w:ascii="Arial" w:hAnsi="Arial" w:eastAsia="Arial" w:cs="Arial"/>
      <w:b/>
      <w:bCs/>
      <w:sz w:val="26"/>
      <w:szCs w:val="26"/>
    </w:rPr>
  </w:style>
  <w:style w:type="character" w:styleId="769" w:customStyle="1">
    <w:name w:val="Заголовок 5 Знак"/>
    <w:link w:val="697"/>
    <w:uiPriority w:val="9"/>
    <w:rPr>
      <w:rFonts w:ascii="Arial" w:hAnsi="Arial" w:eastAsia="Arial" w:cs="Arial"/>
      <w:b/>
      <w:bCs/>
      <w:sz w:val="24"/>
      <w:szCs w:val="24"/>
    </w:rPr>
  </w:style>
  <w:style w:type="character" w:styleId="770" w:customStyle="1">
    <w:name w:val="Заголовок 6 Знак"/>
    <w:link w:val="698"/>
    <w:uiPriority w:val="9"/>
    <w:rPr>
      <w:rFonts w:ascii="Arial" w:hAnsi="Arial" w:eastAsia="Arial" w:cs="Arial"/>
      <w:b/>
      <w:bCs/>
      <w:sz w:val="22"/>
      <w:szCs w:val="22"/>
    </w:rPr>
  </w:style>
  <w:style w:type="character" w:styleId="771" w:customStyle="1">
    <w:name w:val="Заголовок 7 Знак"/>
    <w:link w:val="6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2" w:customStyle="1">
    <w:name w:val="Заголовок 8 Знак"/>
    <w:link w:val="700"/>
    <w:uiPriority w:val="9"/>
    <w:rPr>
      <w:rFonts w:ascii="Arial" w:hAnsi="Arial" w:eastAsia="Arial" w:cs="Arial"/>
      <w:i/>
      <w:iCs/>
      <w:sz w:val="22"/>
      <w:szCs w:val="22"/>
    </w:rPr>
  </w:style>
  <w:style w:type="character" w:styleId="773" w:customStyle="1">
    <w:name w:val="Заголовок 9 Знак"/>
    <w:link w:val="701"/>
    <w:uiPriority w:val="9"/>
    <w:rPr>
      <w:rFonts w:ascii="Arial" w:hAnsi="Arial" w:eastAsia="Arial" w:cs="Arial"/>
      <w:i/>
      <w:iCs/>
      <w:sz w:val="21"/>
      <w:szCs w:val="21"/>
    </w:rPr>
  </w:style>
  <w:style w:type="character" w:styleId="774" w:customStyle="1">
    <w:name w:val="Заголовок Знак"/>
    <w:link w:val="716"/>
    <w:uiPriority w:val="10"/>
    <w:rPr>
      <w:sz w:val="48"/>
      <w:szCs w:val="48"/>
    </w:rPr>
  </w:style>
  <w:style w:type="character" w:styleId="775" w:customStyle="1">
    <w:name w:val="Подзаголовок Знак"/>
    <w:link w:val="718"/>
    <w:uiPriority w:val="11"/>
    <w:rPr>
      <w:sz w:val="24"/>
      <w:szCs w:val="24"/>
    </w:rPr>
  </w:style>
  <w:style w:type="character" w:styleId="776" w:customStyle="1">
    <w:name w:val="Цитата 2 Знак"/>
    <w:link w:val="720"/>
    <w:uiPriority w:val="29"/>
    <w:rPr>
      <w:i/>
    </w:rPr>
  </w:style>
  <w:style w:type="character" w:styleId="777" w:customStyle="1">
    <w:name w:val="Выделенная цитата Знак"/>
    <w:link w:val="722"/>
    <w:uiPriority w:val="30"/>
    <w:rPr>
      <w:i/>
    </w:rPr>
  </w:style>
  <w:style w:type="character" w:styleId="778" w:customStyle="1">
    <w:name w:val="Header Char"/>
    <w:uiPriority w:val="99"/>
  </w:style>
  <w:style w:type="character" w:styleId="779" w:customStyle="1">
    <w:name w:val="Footer Char"/>
    <w:uiPriority w:val="99"/>
  </w:style>
  <w:style w:type="character" w:styleId="780" w:customStyle="1">
    <w:name w:val="Caption Char"/>
    <w:uiPriority w:val="99"/>
  </w:style>
  <w:style w:type="table" w:styleId="781" w:customStyle="1">
    <w:name w:val="Table Grid Light"/>
    <w:uiPriority w:val="5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Таблица простая 11"/>
    <w:uiPriority w:val="5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Таблица простая 21"/>
    <w:uiPriority w:val="5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Таблица простая 3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Таблица простая 4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Таблица простая 5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Таблица-сетка 1 светлая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1 Light - Accent 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1 Light - Accent 2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1 Light - Accent 3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1 Light - Accent 4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1 Light - Accent 5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1 Light - Accent 6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Таблица-сетка 2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2 - Accent 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2 - Accent 2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2 - Accent 3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2 - Accent 4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2 - Accent 5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2 - Accent 6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Таблица-сетка 3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3 - Accent 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3 - Accent 2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3 - Accent 3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3 - Accent 4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3 - Accent 5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3 - Accent 6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Таблица-сетка 41"/>
    <w:uiPriority w:val="5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4 - Accent 1"/>
    <w:uiPriority w:val="5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4 - Accent 2"/>
    <w:uiPriority w:val="5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4 - Accent 3"/>
    <w:uiPriority w:val="5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4 - Accent 4"/>
    <w:uiPriority w:val="5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4 - Accent 5"/>
    <w:uiPriority w:val="5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4 - Accent 6"/>
    <w:uiPriority w:val="5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Таблица-сетка 5 темная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5 Dark- Accent 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5 Dark - Accent 2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5 Dark - Accent 3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5 Dark- Accent 4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5 Dark - Accent 5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5 Dark - Accent 6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Таблица-сетка 6 цветная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6 Colorful - Accent 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6 Colorful - Accent 2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6 Colorful - Accent 3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6 Colorful - Accent 4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6 Colorful - Accent 5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6 Colorful - Accent 6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Таблица-сетка 7 цветная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7 Colorful - Accent 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7 Colorful - Accent 2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7 Colorful - Accent 3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7 Colorful - Accent 4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7 Colorful - Accent 5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7 Colorful - Accent 6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Список-таблица 1 светлая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1 Light - Accent 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1 Light - Accent 2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1 Light - Accent 3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1 Light - Accent 4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1 Light - Accent 5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1 Light - Accent 6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Список-таблица 2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2 - Accent 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2 - Accent 2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2 - Accent 3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2 - Accent 4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2 - Accent 5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2 - Accent 6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Список-таблица 3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3 - Accent 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3 - Accent 2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3 - Accent 3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3 - Accent 4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3 - Accent 5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3 - Accent 6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Список-таблица 4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4 - Accent 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4 - Accent 2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4 - Accent 3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4 - Accent 4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4 - Accent 5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4 - Accent 6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Список-таблица 5 темная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5 Dark - Accent 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5 Dark - Accent 2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5 Dark - Accent 3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5 Dark - Accent 4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5 Dark - Accent 5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5 Dark - Accent 6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Список-таблица 6 цветная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6 Colorful - Accent 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6 Colorful - Accent 2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6 Colorful - Accent 3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6 Colorful - Accent 4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6 Colorful - Accent 5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6 Colorful - Accent 6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Список-таблица 7 цветная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7 Colorful - Accent 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7 Colorful - Accent 2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7 Colorful - Accent 3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7 Colorful - Accent 4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7 Colorful - Accent 5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7 Colorful - Accent 6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ned - Accent"/>
    <w:uiPriority w:val="99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ned - Accent 1"/>
    <w:uiPriority w:val="99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ned - Accent 2"/>
    <w:uiPriority w:val="99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ned - Accent 3"/>
    <w:uiPriority w:val="99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 4"/>
    <w:uiPriority w:val="99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5"/>
    <w:uiPriority w:val="99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6"/>
    <w:uiPriority w:val="99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&amp; Lined - Accent"/>
    <w:uiPriority w:val="99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&amp; Lined - Accent 1"/>
    <w:uiPriority w:val="99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&amp; Lined - Accent 2"/>
    <w:uiPriority w:val="99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&amp; Lined - Accent 3"/>
    <w:uiPriority w:val="99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&amp; Lined - Accent 4"/>
    <w:uiPriority w:val="99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&amp; Lined - Accent 5"/>
    <w:uiPriority w:val="99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&amp; Lined - Accent 6"/>
    <w:uiPriority w:val="99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- Accent 1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- Accent 2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- Accent 3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- Accent 4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- Accent 5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- Accent 6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06" w:customStyle="1">
    <w:name w:val="Текст сноски Знак"/>
    <w:link w:val="748"/>
    <w:uiPriority w:val="99"/>
    <w:rPr>
      <w:sz w:val="18"/>
    </w:rPr>
  </w:style>
  <w:style w:type="character" w:styleId="907" w:customStyle="1">
    <w:name w:val="Текст концевой сноски Знак"/>
    <w:link w:val="751"/>
    <w:uiPriority w:val="99"/>
    <w:rPr>
      <w:sz w:val="20"/>
    </w:rPr>
  </w:style>
  <w:style w:type="paragraph" w:styleId="908" w:customStyle="1">
    <w:name w:val="ConsPlusNormal"/>
    <w:pPr>
      <w:ind w:firstLine="720"/>
      <w:widowControl w:val="off"/>
    </w:pPr>
    <w:rPr>
      <w:rFonts w:ascii="Arial" w:hAnsi="Arial" w:cs="Arial"/>
      <w:lang w:eastAsia="ru-RU"/>
    </w:rPr>
  </w:style>
  <w:style w:type="paragraph" w:styleId="909" w:customStyle="1">
    <w:name w:val="ConsPlusNonformat"/>
    <w:uiPriority w:val="99"/>
    <w:pPr>
      <w:widowControl w:val="off"/>
    </w:pPr>
    <w:rPr>
      <w:rFonts w:ascii="Courier New" w:hAnsi="Courier New" w:cs="Courier New"/>
      <w:lang w:eastAsia="ru-RU"/>
    </w:rPr>
  </w:style>
  <w:style w:type="paragraph" w:styleId="910" w:customStyle="1">
    <w:name w:val="ConsPlusTitle"/>
    <w:pPr>
      <w:widowControl w:val="off"/>
    </w:pPr>
    <w:rPr>
      <w:rFonts w:ascii="Arial" w:hAnsi="Arial" w:cs="Arial"/>
      <w:b/>
      <w:bCs/>
      <w:lang w:eastAsia="ru-RU"/>
    </w:rPr>
  </w:style>
  <w:style w:type="paragraph" w:styleId="911" w:customStyle="1">
    <w:name w:val="ConsPlusCell"/>
    <w:uiPriority w:val="99"/>
    <w:pPr>
      <w:widowControl w:val="off"/>
    </w:pPr>
    <w:rPr>
      <w:rFonts w:ascii="Arial" w:hAnsi="Arial" w:cs="Arial"/>
      <w:lang w:eastAsia="ru-RU"/>
    </w:rPr>
  </w:style>
  <w:style w:type="paragraph" w:styleId="912" w:customStyle="1">
    <w:name w:val="ConsPlusDocList"/>
    <w:uiPriority w:val="99"/>
    <w:pPr>
      <w:widowControl w:val="off"/>
    </w:pPr>
    <w:rPr>
      <w:rFonts w:ascii="Courier New" w:hAnsi="Courier New" w:cs="Courier New"/>
      <w:lang w:eastAsia="ru-RU"/>
    </w:rPr>
  </w:style>
  <w:style w:type="paragraph" w:styleId="913" w:customStyle="1">
    <w:name w:val="Знак"/>
    <w:basedOn w:val="692"/>
    <w:uiPriority w:val="99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 w:cs="Tahoma"/>
      <w:lang w:val="en-US" w:eastAsia="en-US"/>
    </w:rPr>
  </w:style>
  <w:style w:type="paragraph" w:styleId="914">
    <w:name w:val="Balloon Text"/>
    <w:basedOn w:val="692"/>
    <w:link w:val="915"/>
    <w:uiPriority w:val="99"/>
    <w:semiHidden/>
    <w:rPr>
      <w:rFonts w:ascii="Tahoma" w:hAnsi="Tahoma"/>
      <w:sz w:val="16"/>
      <w:szCs w:val="16"/>
      <w:lang w:val="en-US" w:eastAsia="en-US"/>
    </w:rPr>
  </w:style>
  <w:style w:type="character" w:styleId="915" w:customStyle="1">
    <w:name w:val="Текст выноски Знак"/>
    <w:link w:val="914"/>
    <w:uiPriority w:val="99"/>
    <w:semiHidden/>
    <w:rPr>
      <w:rFonts w:ascii="Tahoma" w:hAnsi="Tahoma" w:cs="Tahoma"/>
      <w:sz w:val="16"/>
      <w:szCs w:val="16"/>
    </w:rPr>
  </w:style>
  <w:style w:type="character" w:styleId="916" w:customStyle="1">
    <w:name w:val="Верхний колонтитул Знак"/>
    <w:link w:val="724"/>
    <w:uiPriority w:val="99"/>
    <w:rPr>
      <w:rFonts w:cs="Times New Roman"/>
      <w:sz w:val="20"/>
      <w:szCs w:val="20"/>
    </w:rPr>
  </w:style>
  <w:style w:type="character" w:styleId="917" w:customStyle="1">
    <w:name w:val="Нижний колонтитул Знак"/>
    <w:link w:val="725"/>
    <w:uiPriority w:val="99"/>
    <w:semiHidden/>
    <w:rPr>
      <w:rFonts w:cs="Times New Roman"/>
      <w:sz w:val="20"/>
      <w:szCs w:val="20"/>
    </w:rPr>
  </w:style>
  <w:style w:type="character" w:styleId="918">
    <w:name w:val="page number"/>
    <w:uiPriority w:val="99"/>
    <w:rPr>
      <w:rFonts w:cs="Times New Roman"/>
    </w:rPr>
  </w:style>
  <w:style w:type="paragraph" w:styleId="919">
    <w:name w:val="Body Text Indent 2"/>
    <w:basedOn w:val="692"/>
    <w:link w:val="920"/>
    <w:uiPriority w:val="99"/>
    <w:pPr>
      <w:ind w:firstLine="709"/>
      <w:jc w:val="both"/>
    </w:pPr>
    <w:rPr>
      <w:lang w:val="en-US" w:eastAsia="en-US"/>
    </w:rPr>
  </w:style>
  <w:style w:type="character" w:styleId="920" w:customStyle="1">
    <w:name w:val="Основной текст с отступом 2 Знак"/>
    <w:link w:val="919"/>
    <w:uiPriority w:val="99"/>
    <w:rPr>
      <w:rFonts w:cs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управление по труду и занятости населения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сентября 2006 года N 92-ЗС</dc:title>
  <dc:creator>ConsultantPlus</dc:creator>
  <cp:revision>3</cp:revision>
  <dcterms:created xsi:type="dcterms:W3CDTF">2024-03-15T06:09:00Z</dcterms:created>
  <dcterms:modified xsi:type="dcterms:W3CDTF">2024-03-15T07:10:41Z</dcterms:modified>
  <cp:version>786432</cp:version>
</cp:coreProperties>
</file>